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B9B62" w14:textId="77777777" w:rsidR="003054A9" w:rsidRDefault="003054A9" w:rsidP="004E1499">
      <w:pPr>
        <w:spacing w:after="0"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14:paraId="50C4FF54" w14:textId="77777777" w:rsidR="004E1499" w:rsidRPr="003054A9" w:rsidRDefault="004E1499" w:rsidP="004E1499">
      <w:pPr>
        <w:spacing w:after="0"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3054A9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תערוכה חדשה במוזיאון ישראל </w:t>
      </w:r>
      <w:r w:rsidRPr="003054A9">
        <w:rPr>
          <w:rFonts w:ascii="Arial" w:hAnsi="Arial" w:cs="David"/>
          <w:b/>
          <w:bCs/>
          <w:sz w:val="28"/>
          <w:szCs w:val="28"/>
          <w:u w:val="single"/>
          <w:rtl/>
        </w:rPr>
        <w:t>–</w:t>
      </w:r>
    </w:p>
    <w:p w14:paraId="308415C1" w14:textId="77777777" w:rsidR="00556074" w:rsidRPr="003054A9" w:rsidRDefault="00556074" w:rsidP="004E1499">
      <w:pPr>
        <w:spacing w:after="0"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</w:rPr>
      </w:pPr>
      <w:r w:rsidRPr="003054A9">
        <w:rPr>
          <w:rFonts w:ascii="Arial" w:hAnsi="Arial" w:cs="David" w:hint="cs"/>
          <w:b/>
          <w:bCs/>
          <w:sz w:val="28"/>
          <w:szCs w:val="28"/>
          <w:u w:val="single"/>
          <w:rtl/>
        </w:rPr>
        <w:t>תמרה ריקמן: בעיקר ורוד</w:t>
      </w:r>
    </w:p>
    <w:p w14:paraId="56435797" w14:textId="77ADDAC7" w:rsidR="002C437C" w:rsidRPr="003054A9" w:rsidRDefault="002C437C" w:rsidP="000A4BD1">
      <w:pPr>
        <w:spacing w:after="0" w:line="360" w:lineRule="auto"/>
        <w:jc w:val="center"/>
        <w:rPr>
          <w:rFonts w:ascii="Arial" w:hAnsi="Arial" w:cs="David"/>
          <w:b/>
          <w:bCs/>
          <w:sz w:val="26"/>
          <w:szCs w:val="26"/>
          <w:rtl/>
        </w:rPr>
      </w:pPr>
      <w:r w:rsidRPr="00F063BD">
        <w:rPr>
          <w:rFonts w:ascii="Arial" w:hAnsi="Arial" w:cs="David" w:hint="cs"/>
          <w:b/>
          <w:bCs/>
          <w:sz w:val="26"/>
          <w:szCs w:val="26"/>
          <w:rtl/>
        </w:rPr>
        <w:t>הרבה לפני שהצבע ה</w:t>
      </w:r>
      <w:r w:rsidR="00D02118" w:rsidRPr="00F063BD">
        <w:rPr>
          <w:rFonts w:ascii="Arial" w:hAnsi="Arial" w:cs="David" w:hint="cs"/>
          <w:b/>
          <w:bCs/>
          <w:sz w:val="26"/>
          <w:szCs w:val="26"/>
          <w:rtl/>
        </w:rPr>
        <w:t>ו</w:t>
      </w:r>
      <w:r w:rsidRPr="00F063BD">
        <w:rPr>
          <w:rFonts w:ascii="Arial" w:hAnsi="Arial" w:cs="David" w:hint="cs"/>
          <w:b/>
          <w:bCs/>
          <w:sz w:val="26"/>
          <w:szCs w:val="26"/>
          <w:rtl/>
        </w:rPr>
        <w:t>ורוד הפך לסמל המחאה החברתית, השתמשה בו האמנית תמרה ריקמן, ילידת</w:t>
      </w:r>
      <w:r w:rsidRPr="00F063BD">
        <w:rPr>
          <w:rFonts w:ascii="Arial" w:hAnsi="Arial" w:cs="David"/>
          <w:b/>
          <w:bCs/>
          <w:sz w:val="26"/>
          <w:szCs w:val="26"/>
          <w:rtl/>
        </w:rPr>
        <w:t xml:space="preserve"> 1934</w:t>
      </w:r>
      <w:r w:rsidRPr="00F063BD">
        <w:rPr>
          <w:rFonts w:ascii="Arial" w:hAnsi="Arial" w:cs="David" w:hint="cs"/>
          <w:b/>
          <w:bCs/>
          <w:sz w:val="26"/>
          <w:szCs w:val="26"/>
          <w:rtl/>
        </w:rPr>
        <w:t xml:space="preserve">, </w:t>
      </w:r>
      <w:r w:rsidR="003054A9" w:rsidRPr="00F063BD">
        <w:rPr>
          <w:rFonts w:ascii="Arial" w:hAnsi="Arial" w:cs="David" w:hint="cs"/>
          <w:b/>
          <w:bCs/>
          <w:sz w:val="26"/>
          <w:szCs w:val="26"/>
          <w:rtl/>
        </w:rPr>
        <w:t xml:space="preserve"> </w:t>
      </w:r>
      <w:r w:rsidRPr="00F063BD">
        <w:rPr>
          <w:rFonts w:ascii="Arial" w:hAnsi="Arial" w:cs="David" w:hint="cs"/>
          <w:b/>
          <w:bCs/>
          <w:sz w:val="26"/>
          <w:szCs w:val="26"/>
          <w:rtl/>
        </w:rPr>
        <w:t xml:space="preserve">כדי </w:t>
      </w:r>
      <w:r w:rsidR="00D02118" w:rsidRPr="00F063BD">
        <w:rPr>
          <w:rFonts w:ascii="Arial" w:hAnsi="Arial" w:cs="David" w:hint="cs"/>
          <w:b/>
          <w:bCs/>
          <w:sz w:val="26"/>
          <w:szCs w:val="26"/>
          <w:rtl/>
        </w:rPr>
        <w:t>להפוך מצע</w:t>
      </w:r>
      <w:r w:rsidR="00D02118" w:rsidRPr="00F063BD">
        <w:rPr>
          <w:rFonts w:ascii="Arial" w:hAnsi="Arial" w:cs="David"/>
          <w:b/>
          <w:bCs/>
          <w:sz w:val="26"/>
          <w:szCs w:val="26"/>
          <w:rtl/>
        </w:rPr>
        <w:t xml:space="preserve"> </w:t>
      </w:r>
      <w:r w:rsidR="00D02118" w:rsidRPr="00F063BD">
        <w:rPr>
          <w:rFonts w:ascii="Arial" w:hAnsi="Arial" w:cs="David" w:hint="cs"/>
          <w:b/>
          <w:bCs/>
          <w:sz w:val="26"/>
          <w:szCs w:val="26"/>
          <w:rtl/>
        </w:rPr>
        <w:t>גס</w:t>
      </w:r>
      <w:r w:rsidR="00D02118" w:rsidRPr="00F063BD">
        <w:rPr>
          <w:rFonts w:ascii="Arial" w:hAnsi="Arial" w:cs="David"/>
          <w:b/>
          <w:bCs/>
          <w:sz w:val="26"/>
          <w:szCs w:val="26"/>
          <w:rtl/>
        </w:rPr>
        <w:t xml:space="preserve"> </w:t>
      </w:r>
      <w:r w:rsidR="00D02118" w:rsidRPr="00F063BD">
        <w:rPr>
          <w:rFonts w:ascii="Arial" w:hAnsi="Arial" w:cs="David" w:hint="cs"/>
          <w:b/>
          <w:bCs/>
          <w:sz w:val="26"/>
          <w:szCs w:val="26"/>
          <w:rtl/>
        </w:rPr>
        <w:t>ליצירות</w:t>
      </w:r>
      <w:r w:rsidR="00D02118" w:rsidRPr="00F063BD">
        <w:rPr>
          <w:rFonts w:ascii="Arial" w:hAnsi="Arial" w:cs="David"/>
          <w:b/>
          <w:bCs/>
          <w:sz w:val="26"/>
          <w:szCs w:val="26"/>
          <w:rtl/>
        </w:rPr>
        <w:t xml:space="preserve"> </w:t>
      </w:r>
      <w:r w:rsidR="00D02118" w:rsidRPr="00F063BD">
        <w:rPr>
          <w:rFonts w:ascii="Arial" w:hAnsi="Arial" w:cs="David" w:hint="cs"/>
          <w:b/>
          <w:bCs/>
          <w:sz w:val="26"/>
          <w:szCs w:val="26"/>
          <w:rtl/>
        </w:rPr>
        <w:t>רכות</w:t>
      </w:r>
      <w:r w:rsidR="00D02118" w:rsidRPr="00F063BD">
        <w:rPr>
          <w:rFonts w:ascii="Arial" w:hAnsi="Arial" w:cs="David"/>
          <w:b/>
          <w:bCs/>
          <w:sz w:val="26"/>
          <w:szCs w:val="26"/>
          <w:rtl/>
        </w:rPr>
        <w:t xml:space="preserve"> </w:t>
      </w:r>
      <w:r w:rsidR="000A4BD1">
        <w:rPr>
          <w:rFonts w:ascii="Arial" w:hAnsi="Arial" w:cs="David" w:hint="cs"/>
          <w:b/>
          <w:bCs/>
          <w:sz w:val="26"/>
          <w:szCs w:val="26"/>
          <w:rtl/>
        </w:rPr>
        <w:t>ועדינות</w:t>
      </w:r>
      <w:r w:rsidR="00D02118" w:rsidRPr="00F063BD">
        <w:rPr>
          <w:rFonts w:ascii="Arial" w:hAnsi="Arial" w:cs="David"/>
          <w:b/>
          <w:bCs/>
          <w:sz w:val="26"/>
          <w:szCs w:val="26"/>
          <w:rtl/>
        </w:rPr>
        <w:t xml:space="preserve">, </w:t>
      </w:r>
      <w:r w:rsidR="00D02118" w:rsidRPr="00F063BD">
        <w:rPr>
          <w:rFonts w:ascii="Arial" w:hAnsi="Arial" w:cs="David" w:hint="cs"/>
          <w:b/>
          <w:bCs/>
          <w:sz w:val="26"/>
          <w:szCs w:val="26"/>
          <w:rtl/>
        </w:rPr>
        <w:t>באמצעות</w:t>
      </w:r>
      <w:r w:rsidR="00D02118" w:rsidRPr="00F063BD">
        <w:rPr>
          <w:rFonts w:ascii="Arial" w:hAnsi="Arial" w:cs="David"/>
          <w:b/>
          <w:bCs/>
          <w:sz w:val="26"/>
          <w:szCs w:val="26"/>
          <w:rtl/>
        </w:rPr>
        <w:t xml:space="preserve"> </w:t>
      </w:r>
      <w:r w:rsidR="00D02118" w:rsidRPr="00F063BD">
        <w:rPr>
          <w:rFonts w:ascii="Arial" w:hAnsi="Arial" w:cs="David" w:hint="cs"/>
          <w:b/>
          <w:bCs/>
          <w:sz w:val="26"/>
          <w:szCs w:val="26"/>
          <w:rtl/>
        </w:rPr>
        <w:t>צבע</w:t>
      </w:r>
      <w:r w:rsidR="00D02118" w:rsidRPr="00F063BD">
        <w:rPr>
          <w:rFonts w:ascii="Arial" w:hAnsi="Arial" w:cs="David"/>
          <w:b/>
          <w:bCs/>
          <w:sz w:val="26"/>
          <w:szCs w:val="26"/>
          <w:rtl/>
        </w:rPr>
        <w:t xml:space="preserve"> </w:t>
      </w:r>
      <w:r w:rsidR="00D02118" w:rsidRPr="00F063BD">
        <w:rPr>
          <w:rFonts w:ascii="Arial" w:hAnsi="Arial" w:cs="David" w:hint="cs"/>
          <w:b/>
          <w:bCs/>
          <w:sz w:val="26"/>
          <w:szCs w:val="26"/>
          <w:rtl/>
        </w:rPr>
        <w:t>תעשייתי</w:t>
      </w:r>
      <w:r w:rsidR="00D02118" w:rsidRPr="00F063BD">
        <w:rPr>
          <w:rFonts w:ascii="Arial" w:hAnsi="Arial" w:cs="David"/>
          <w:b/>
          <w:bCs/>
          <w:sz w:val="26"/>
          <w:szCs w:val="26"/>
          <w:rtl/>
        </w:rPr>
        <w:t xml:space="preserve"> פשוט</w:t>
      </w:r>
      <w:r w:rsidR="00D02118" w:rsidRPr="00F063BD">
        <w:rPr>
          <w:rFonts w:ascii="Arial" w:hAnsi="Arial" w:cs="David" w:hint="cs"/>
          <w:b/>
          <w:bCs/>
          <w:sz w:val="26"/>
          <w:szCs w:val="26"/>
          <w:rtl/>
        </w:rPr>
        <w:t xml:space="preserve">. </w:t>
      </w:r>
      <w:r w:rsidRPr="00F063BD">
        <w:rPr>
          <w:rFonts w:ascii="Arial" w:hAnsi="Arial" w:cs="David" w:hint="cs"/>
          <w:b/>
          <w:bCs/>
          <w:sz w:val="26"/>
          <w:szCs w:val="26"/>
          <w:rtl/>
        </w:rPr>
        <w:t xml:space="preserve">תערוכה חדשה מציגה את עבודותיה של ריקמן מהשנים האחרונות הממזגות פסטל </w:t>
      </w:r>
      <w:r w:rsidR="00D02118" w:rsidRPr="00F063BD">
        <w:rPr>
          <w:rFonts w:ascii="Arial" w:hAnsi="Arial" w:cs="David" w:hint="cs"/>
          <w:b/>
          <w:bCs/>
          <w:sz w:val="26"/>
          <w:szCs w:val="26"/>
          <w:rtl/>
        </w:rPr>
        <w:t xml:space="preserve"> וסיד</w:t>
      </w:r>
      <w:r w:rsidRPr="00F063BD">
        <w:rPr>
          <w:rFonts w:ascii="Arial" w:hAnsi="Arial" w:cs="David" w:hint="cs"/>
          <w:b/>
          <w:bCs/>
          <w:sz w:val="26"/>
          <w:szCs w:val="26"/>
          <w:rtl/>
        </w:rPr>
        <w:t xml:space="preserve"> עם מהלך אינטואיטיוובי של עיפרון</w:t>
      </w:r>
    </w:p>
    <w:p w14:paraId="70842AD2" w14:textId="77777777" w:rsidR="003054A9" w:rsidRPr="003054A9" w:rsidRDefault="003054A9" w:rsidP="0030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David"/>
          <w:sz w:val="20"/>
          <w:szCs w:val="20"/>
          <w:rtl/>
        </w:rPr>
      </w:pPr>
      <w:r w:rsidRPr="003054A9">
        <w:rPr>
          <w:rFonts w:cs="David" w:hint="cs"/>
          <w:sz w:val="20"/>
          <w:szCs w:val="20"/>
          <w:rtl/>
        </w:rPr>
        <w:t>תמרה ריקמן: בעיקר ורוד</w:t>
      </w:r>
    </w:p>
    <w:p w14:paraId="196BBADE" w14:textId="77777777" w:rsidR="003054A9" w:rsidRDefault="003054A9" w:rsidP="0030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David"/>
          <w:sz w:val="20"/>
          <w:szCs w:val="20"/>
          <w:rtl/>
        </w:rPr>
      </w:pPr>
      <w:r w:rsidRPr="003054A9">
        <w:rPr>
          <w:rFonts w:cs="David" w:hint="cs"/>
          <w:sz w:val="20"/>
          <w:szCs w:val="20"/>
          <w:rtl/>
        </w:rPr>
        <w:t>אוצרת: רונית שורק</w:t>
      </w:r>
    </w:p>
    <w:p w14:paraId="432D91E8" w14:textId="153A20DB" w:rsidR="004837F7" w:rsidRPr="004837F7" w:rsidRDefault="004837F7" w:rsidP="0048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David"/>
          <w:sz w:val="20"/>
          <w:szCs w:val="20"/>
          <w:rtl/>
        </w:rPr>
      </w:pPr>
      <w:bookmarkStart w:id="0" w:name="_GoBack"/>
      <w:r>
        <w:rPr>
          <w:rFonts w:cs="David" w:hint="cs"/>
          <w:sz w:val="20"/>
          <w:szCs w:val="20"/>
          <w:rtl/>
        </w:rPr>
        <w:t>פתיחה:</w:t>
      </w:r>
      <w:r>
        <w:rPr>
          <w:rFonts w:cs="David"/>
          <w:sz w:val="20"/>
          <w:szCs w:val="20"/>
        </w:rPr>
        <w:t>1.12.20</w:t>
      </w:r>
    </w:p>
    <w:bookmarkEnd w:id="0"/>
    <w:p w14:paraId="2D51E114" w14:textId="77777777" w:rsidR="00AD51A7" w:rsidRPr="003054A9" w:rsidRDefault="00556074" w:rsidP="00D14010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3054A9">
        <w:rPr>
          <w:rFonts w:ascii="Arial" w:hAnsi="Arial" w:cs="David" w:hint="cs"/>
          <w:sz w:val="24"/>
          <w:szCs w:val="24"/>
          <w:rtl/>
        </w:rPr>
        <w:t xml:space="preserve">הרישומים של תמרה ריקמן מוליכים זה אל זה במקצב פנימי, טמונים בספרי אמן, עשויים על קרטונים משומשים ועל גיליונות נייר. תנועה נסתרת </w:t>
      </w:r>
      <w:r w:rsidRPr="003054A9">
        <w:rPr>
          <w:rFonts w:ascii="Arial" w:hAnsi="Arial" w:cs="David" w:hint="eastAsia"/>
          <w:sz w:val="24"/>
          <w:szCs w:val="24"/>
          <w:rtl/>
        </w:rPr>
        <w:t>מחברת</w:t>
      </w:r>
      <w:r w:rsidRPr="003054A9">
        <w:rPr>
          <w:rFonts w:ascii="Arial" w:hAnsi="Arial" w:cs="David" w:hint="cs"/>
          <w:sz w:val="24"/>
          <w:szCs w:val="24"/>
          <w:rtl/>
        </w:rPr>
        <w:t xml:space="preserve"> ביניהם ואין לעמוד על טיבם אלא כחלק מרצף. </w:t>
      </w:r>
      <w:r w:rsidR="00AD51A7" w:rsidRPr="003054A9">
        <w:rPr>
          <w:rFonts w:ascii="Arial" w:hAnsi="Arial" w:cs="David" w:hint="cs"/>
          <w:sz w:val="24"/>
          <w:szCs w:val="24"/>
          <w:rtl/>
        </w:rPr>
        <w:t>ספרי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האמן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שריקמן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שוקדת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עליהם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מבטאים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באופן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המזוקק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ביותר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את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מה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שהיא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מכנה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"</w:t>
      </w:r>
      <w:r w:rsidR="00AD51A7" w:rsidRPr="003054A9">
        <w:rPr>
          <w:rFonts w:ascii="Arial" w:hAnsi="Arial" w:cs="David" w:hint="cs"/>
          <w:sz w:val="24"/>
          <w:szCs w:val="24"/>
          <w:rtl/>
        </w:rPr>
        <w:t>האישיות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הרישומית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שלי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". </w:t>
      </w:r>
      <w:r w:rsidR="00AD51A7" w:rsidRPr="003054A9">
        <w:rPr>
          <w:rFonts w:ascii="Arial" w:hAnsi="Arial" w:cs="David" w:hint="cs"/>
          <w:sz w:val="24"/>
          <w:szCs w:val="24"/>
          <w:rtl/>
        </w:rPr>
        <w:t>אלו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יצירות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מופשטות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שאפשר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להגדיר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אותן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כיומן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המתעד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את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הלכי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הרוח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של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האמנית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, </w:t>
      </w:r>
      <w:r w:rsidR="00AD51A7" w:rsidRPr="003054A9">
        <w:rPr>
          <w:rFonts w:ascii="Arial" w:hAnsi="Arial" w:cs="David" w:hint="cs"/>
          <w:sz w:val="24"/>
          <w:szCs w:val="24"/>
          <w:rtl/>
        </w:rPr>
        <w:t>אלא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שריקמן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כדרכה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הודפת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כל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ניסיון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פיענוח</w:t>
      </w:r>
      <w:r w:rsidR="00AD51A7" w:rsidRPr="003054A9">
        <w:rPr>
          <w:rFonts w:ascii="Arial" w:hAnsi="Arial" w:cs="David"/>
          <w:sz w:val="24"/>
          <w:szCs w:val="24"/>
          <w:rtl/>
        </w:rPr>
        <w:t>: "</w:t>
      </w:r>
      <w:r w:rsidR="00AD51A7" w:rsidRPr="003054A9">
        <w:rPr>
          <w:rFonts w:ascii="Arial" w:hAnsi="Arial" w:cs="David" w:hint="cs"/>
          <w:sz w:val="24"/>
          <w:szCs w:val="24"/>
          <w:rtl/>
        </w:rPr>
        <w:t>אני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לא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מתרגמת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את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הרגשות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שלי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לציור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– </w:t>
      </w:r>
      <w:r w:rsidR="00AD51A7" w:rsidRPr="003054A9">
        <w:rPr>
          <w:rFonts w:ascii="Arial" w:hAnsi="Arial" w:cs="David" w:hint="cs"/>
          <w:sz w:val="24"/>
          <w:szCs w:val="24"/>
          <w:rtl/>
        </w:rPr>
        <w:t>לא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אושר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, </w:t>
      </w:r>
      <w:r w:rsidR="00AD51A7" w:rsidRPr="003054A9">
        <w:rPr>
          <w:rFonts w:ascii="Arial" w:hAnsi="Arial" w:cs="David" w:hint="cs"/>
          <w:sz w:val="24"/>
          <w:szCs w:val="24"/>
          <w:rtl/>
        </w:rPr>
        <w:t>לא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סבל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, </w:t>
      </w:r>
      <w:r w:rsidR="00AD51A7" w:rsidRPr="003054A9">
        <w:rPr>
          <w:rFonts w:ascii="Arial" w:hAnsi="Arial" w:cs="David" w:hint="cs"/>
          <w:sz w:val="24"/>
          <w:szCs w:val="24"/>
          <w:rtl/>
        </w:rPr>
        <w:t>ולא</w:t>
      </w:r>
      <w:r w:rsidR="00AD51A7" w:rsidRPr="003054A9">
        <w:rPr>
          <w:rFonts w:ascii="Arial" w:hAnsi="Arial" w:cs="David"/>
          <w:sz w:val="24"/>
          <w:szCs w:val="24"/>
          <w:rtl/>
        </w:rPr>
        <w:t xml:space="preserve"> </w:t>
      </w:r>
      <w:r w:rsidR="00AD51A7" w:rsidRPr="003054A9">
        <w:rPr>
          <w:rFonts w:ascii="Arial" w:hAnsi="Arial" w:cs="David" w:hint="cs"/>
          <w:sz w:val="24"/>
          <w:szCs w:val="24"/>
          <w:rtl/>
        </w:rPr>
        <w:t>זיכרונות</w:t>
      </w:r>
      <w:r w:rsidR="00AD51A7" w:rsidRPr="003054A9">
        <w:rPr>
          <w:rFonts w:ascii="Arial" w:hAnsi="Arial" w:cs="David"/>
          <w:sz w:val="24"/>
          <w:szCs w:val="24"/>
          <w:rtl/>
        </w:rPr>
        <w:t>".</w:t>
      </w:r>
    </w:p>
    <w:p w14:paraId="39347669" w14:textId="77777777" w:rsidR="00AD51A7" w:rsidRPr="003054A9" w:rsidRDefault="00AD51A7" w:rsidP="00D14010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</w:p>
    <w:p w14:paraId="2CAF7230" w14:textId="107001E8" w:rsidR="00556074" w:rsidRPr="003054A9" w:rsidRDefault="00556074" w:rsidP="000A4BD1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3054A9">
        <w:rPr>
          <w:rFonts w:ascii="Arial" w:hAnsi="Arial" w:cs="David" w:hint="cs"/>
          <w:sz w:val="24"/>
          <w:szCs w:val="24"/>
          <w:rtl/>
        </w:rPr>
        <w:t>ריקמן</w:t>
      </w:r>
      <w:r w:rsidR="00F063BD">
        <w:rPr>
          <w:rFonts w:ascii="Arial" w:hAnsi="Arial" w:cs="David" w:hint="cs"/>
          <w:sz w:val="24"/>
          <w:szCs w:val="24"/>
          <w:rtl/>
        </w:rPr>
        <w:t xml:space="preserve"> </w:t>
      </w:r>
      <w:r w:rsidRPr="003054A9">
        <w:rPr>
          <w:rFonts w:ascii="Arial" w:hAnsi="Arial" w:cs="David" w:hint="cs"/>
          <w:sz w:val="24"/>
          <w:szCs w:val="24"/>
          <w:rtl/>
        </w:rPr>
        <w:t xml:space="preserve">התנסתה בתחריט, ברישום, בפיסול במתכת ובאיור </w:t>
      </w:r>
      <w:r w:rsidRPr="003054A9">
        <w:rPr>
          <w:rFonts w:ascii="Arial" w:hAnsi="Arial" w:cs="David" w:hint="eastAsia"/>
          <w:sz w:val="24"/>
          <w:szCs w:val="24"/>
          <w:rtl/>
        </w:rPr>
        <w:t>ספרים</w:t>
      </w:r>
      <w:r w:rsidRPr="003054A9">
        <w:rPr>
          <w:rFonts w:ascii="Arial" w:hAnsi="Arial" w:cs="David"/>
          <w:sz w:val="24"/>
          <w:szCs w:val="24"/>
          <w:rtl/>
        </w:rPr>
        <w:t>.</w:t>
      </w:r>
      <w:r w:rsidRPr="003054A9">
        <w:rPr>
          <w:rFonts w:ascii="Arial" w:hAnsi="Arial" w:cs="David" w:hint="cs"/>
          <w:sz w:val="24"/>
          <w:szCs w:val="24"/>
          <w:rtl/>
        </w:rPr>
        <w:t xml:space="preserve"> </w:t>
      </w:r>
      <w:r w:rsidRPr="003054A9">
        <w:rPr>
          <w:rFonts w:ascii="Arial" w:eastAsia="Times New Roman" w:hAnsi="Arial" w:cs="David" w:hint="cs"/>
          <w:sz w:val="24"/>
          <w:szCs w:val="24"/>
          <w:rtl/>
        </w:rPr>
        <w:t xml:space="preserve">לתלמידיה הרבים </w:t>
      </w:r>
      <w:r w:rsidR="00AD51A7" w:rsidRPr="003054A9">
        <w:rPr>
          <w:rFonts w:ascii="Arial" w:eastAsia="Times New Roman" w:hAnsi="Arial" w:cs="David" w:hint="cs"/>
          <w:sz w:val="24"/>
          <w:szCs w:val="24"/>
          <w:rtl/>
        </w:rPr>
        <w:t>היא נוהגת לומר:</w:t>
      </w:r>
      <w:r w:rsidRPr="003054A9">
        <w:rPr>
          <w:rFonts w:ascii="Arial" w:eastAsia="Times New Roman" w:hAnsi="Arial" w:cs="David" w:hint="cs"/>
          <w:sz w:val="24"/>
          <w:szCs w:val="24"/>
          <w:rtl/>
        </w:rPr>
        <w:t xml:space="preserve"> "</w:t>
      </w:r>
      <w:r w:rsidRPr="003054A9">
        <w:rPr>
          <w:rFonts w:ascii="Arial" w:eastAsia="Times New Roman" w:hAnsi="Arial" w:cs="David"/>
          <w:sz w:val="24"/>
          <w:szCs w:val="24"/>
          <w:rtl/>
        </w:rPr>
        <w:t xml:space="preserve">תפתחו מחסן ותאחסנו </w:t>
      </w:r>
      <w:r w:rsidRPr="003054A9">
        <w:rPr>
          <w:rFonts w:ascii="Arial" w:eastAsia="Times New Roman" w:hAnsi="Arial" w:cs="David" w:hint="cs"/>
          <w:sz w:val="24"/>
          <w:szCs w:val="24"/>
          <w:rtl/>
        </w:rPr>
        <w:t xml:space="preserve">בו </w:t>
      </w:r>
      <w:r w:rsidRPr="003054A9">
        <w:rPr>
          <w:rFonts w:ascii="Arial" w:eastAsia="Times New Roman" w:hAnsi="Arial" w:cs="David"/>
          <w:sz w:val="24"/>
          <w:szCs w:val="24"/>
          <w:rtl/>
        </w:rPr>
        <w:t>כל דבר שאתם אוהבים, כי בלי מחסן לא תוכלו לעבוד</w:t>
      </w:r>
      <w:r w:rsidRPr="003054A9">
        <w:rPr>
          <w:rFonts w:ascii="Arial" w:eastAsia="Times New Roman" w:hAnsi="Arial" w:cs="David" w:hint="cs"/>
          <w:sz w:val="24"/>
          <w:szCs w:val="24"/>
          <w:rtl/>
        </w:rPr>
        <w:t xml:space="preserve">", ומתכוונת ל"מחסני זיכרון" המשמשים מאגרי השראה. </w:t>
      </w:r>
      <w:r w:rsidRPr="003054A9">
        <w:rPr>
          <w:rFonts w:ascii="Arial" w:eastAsia="Times New Roman" w:hAnsi="Arial" w:cs="David"/>
          <w:sz w:val="24"/>
          <w:szCs w:val="24"/>
          <w:rtl/>
        </w:rPr>
        <w:t>ב</w:t>
      </w:r>
      <w:r w:rsidRPr="003054A9">
        <w:rPr>
          <w:rFonts w:ascii="Arial" w:eastAsia="Times New Roman" w:hAnsi="Arial" w:cs="David" w:hint="cs"/>
          <w:sz w:val="24"/>
          <w:szCs w:val="24"/>
          <w:rtl/>
        </w:rPr>
        <w:t>"</w:t>
      </w:r>
      <w:r w:rsidRPr="003054A9">
        <w:rPr>
          <w:rFonts w:ascii="Arial" w:eastAsia="Times New Roman" w:hAnsi="Arial" w:cs="David"/>
          <w:sz w:val="24"/>
          <w:szCs w:val="24"/>
          <w:rtl/>
        </w:rPr>
        <w:t>מחסניה</w:t>
      </w:r>
      <w:r w:rsidRPr="003054A9">
        <w:rPr>
          <w:rFonts w:ascii="Arial" w:eastAsia="Times New Roman" w:hAnsi="Arial" w:cs="David" w:hint="cs"/>
          <w:sz w:val="24"/>
          <w:szCs w:val="24"/>
          <w:rtl/>
        </w:rPr>
        <w:t>"</w:t>
      </w:r>
      <w:r w:rsidRPr="003054A9">
        <w:rPr>
          <w:rFonts w:ascii="Arial" w:eastAsia="Times New Roman" w:hAnsi="Arial" w:cs="David"/>
          <w:sz w:val="24"/>
          <w:szCs w:val="24"/>
          <w:rtl/>
        </w:rPr>
        <w:t xml:space="preserve"> שלה </w:t>
      </w:r>
      <w:r w:rsidRPr="003054A9">
        <w:rPr>
          <w:rFonts w:ascii="Arial" w:eastAsia="Times New Roman" w:hAnsi="Arial" w:cs="David" w:hint="eastAsia"/>
          <w:sz w:val="24"/>
          <w:szCs w:val="24"/>
          <w:rtl/>
        </w:rPr>
        <w:t>שמורים</w:t>
      </w:r>
      <w:r w:rsidRPr="003054A9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3054A9">
        <w:rPr>
          <w:rFonts w:ascii="Arial" w:eastAsia="Times New Roman" w:hAnsi="Arial" w:cs="David" w:hint="eastAsia"/>
          <w:sz w:val="24"/>
          <w:szCs w:val="24"/>
          <w:rtl/>
        </w:rPr>
        <w:t>זיכרונות</w:t>
      </w:r>
      <w:r w:rsidRPr="003054A9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3054A9">
        <w:rPr>
          <w:rFonts w:ascii="Arial" w:eastAsia="Times New Roman" w:hAnsi="Arial" w:cs="David" w:hint="cs"/>
          <w:sz w:val="24"/>
          <w:szCs w:val="24"/>
          <w:rtl/>
        </w:rPr>
        <w:t xml:space="preserve">מאמנים שהשפיעו על תפיסתה את המופשט. </w:t>
      </w:r>
      <w:r w:rsidRPr="000A4BD1">
        <w:rPr>
          <w:rFonts w:ascii="Arial" w:eastAsia="Times New Roman" w:hAnsi="Arial" w:cs="David" w:hint="eastAsia"/>
          <w:sz w:val="24"/>
          <w:szCs w:val="24"/>
          <w:rtl/>
        </w:rPr>
        <w:t>יותר</w:t>
      </w:r>
      <w:r w:rsidRPr="000A4BD1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0A4BD1">
        <w:rPr>
          <w:rFonts w:ascii="Arial" w:eastAsia="Times New Roman" w:hAnsi="Arial" w:cs="David" w:hint="eastAsia"/>
          <w:sz w:val="24"/>
          <w:szCs w:val="24"/>
          <w:rtl/>
        </w:rPr>
        <w:t>מכול</w:t>
      </w:r>
      <w:r w:rsidRPr="000A4BD1">
        <w:rPr>
          <w:rFonts w:ascii="Arial" w:eastAsia="Times New Roman" w:hAnsi="Arial" w:cs="David"/>
          <w:sz w:val="24"/>
          <w:szCs w:val="24"/>
          <w:rtl/>
        </w:rPr>
        <w:t xml:space="preserve">, </w:t>
      </w:r>
      <w:r w:rsidRPr="000A4BD1">
        <w:rPr>
          <w:rFonts w:ascii="Arial" w:eastAsia="Times New Roman" w:hAnsi="Arial" w:cs="David" w:hint="eastAsia"/>
          <w:sz w:val="24"/>
          <w:szCs w:val="24"/>
          <w:rtl/>
        </w:rPr>
        <w:t>ניכרת</w:t>
      </w:r>
      <w:r w:rsidRPr="000A4BD1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0A4BD1">
        <w:rPr>
          <w:rFonts w:ascii="Arial" w:eastAsia="Times New Roman" w:hAnsi="Arial" w:cs="David" w:hint="eastAsia"/>
          <w:sz w:val="24"/>
          <w:szCs w:val="24"/>
          <w:rtl/>
        </w:rPr>
        <w:t>ביצירותיה</w:t>
      </w:r>
      <w:r w:rsidRPr="000A4BD1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0A4BD1">
        <w:rPr>
          <w:rFonts w:ascii="Arial" w:eastAsia="Times New Roman" w:hAnsi="Arial" w:cs="David" w:hint="eastAsia"/>
          <w:sz w:val="24"/>
          <w:szCs w:val="24"/>
          <w:rtl/>
        </w:rPr>
        <w:t>ההתבוננות</w:t>
      </w:r>
      <w:r w:rsidRPr="000A4BD1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0A4BD1">
        <w:rPr>
          <w:rFonts w:ascii="Arial" w:eastAsia="Times New Roman" w:hAnsi="Arial" w:cs="David" w:hint="eastAsia"/>
          <w:sz w:val="24"/>
          <w:szCs w:val="24"/>
          <w:rtl/>
        </w:rPr>
        <w:t>המעמיקה</w:t>
      </w:r>
      <w:r w:rsidRPr="000A4BD1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0A4BD1">
        <w:rPr>
          <w:rFonts w:ascii="Arial" w:eastAsia="Times New Roman" w:hAnsi="Arial" w:cs="David" w:hint="eastAsia"/>
          <w:sz w:val="24"/>
          <w:szCs w:val="24"/>
          <w:rtl/>
        </w:rPr>
        <w:t>בעבודותיהם</w:t>
      </w:r>
      <w:r w:rsidRPr="003054A9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3054A9">
        <w:rPr>
          <w:rFonts w:ascii="Arial" w:eastAsia="Times New Roman" w:hAnsi="Arial" w:cs="David" w:hint="eastAsia"/>
          <w:sz w:val="24"/>
          <w:szCs w:val="24"/>
          <w:rtl/>
        </w:rPr>
        <w:t>של</w:t>
      </w:r>
      <w:r w:rsidRPr="003054A9">
        <w:rPr>
          <w:rFonts w:ascii="Arial" w:eastAsia="Times New Roman" w:hAnsi="Arial" w:cs="David"/>
          <w:sz w:val="24"/>
          <w:szCs w:val="24"/>
          <w:rtl/>
        </w:rPr>
        <w:t xml:space="preserve"> אריה ארוך, אביבה אורי, משה </w:t>
      </w:r>
      <w:r w:rsidRPr="003054A9">
        <w:rPr>
          <w:rFonts w:ascii="Arial" w:eastAsia="Times New Roman" w:hAnsi="Arial" w:cs="David" w:hint="eastAsia"/>
          <w:sz w:val="24"/>
          <w:szCs w:val="24"/>
          <w:rtl/>
        </w:rPr>
        <w:t>קופפרמן</w:t>
      </w:r>
      <w:r w:rsidRPr="003054A9">
        <w:rPr>
          <w:rFonts w:ascii="Arial" w:eastAsia="Times New Roman" w:hAnsi="Arial" w:cs="David" w:hint="cs"/>
          <w:sz w:val="24"/>
          <w:szCs w:val="24"/>
          <w:rtl/>
        </w:rPr>
        <w:t xml:space="preserve"> ו</w:t>
      </w:r>
      <w:r w:rsidRPr="003054A9">
        <w:rPr>
          <w:rFonts w:ascii="Arial" w:eastAsia="Times New Roman" w:hAnsi="Arial" w:cs="David"/>
          <w:sz w:val="24"/>
          <w:szCs w:val="24"/>
          <w:rtl/>
        </w:rPr>
        <w:t>רפי לביא</w:t>
      </w:r>
      <w:r w:rsidRPr="003054A9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. </w:t>
      </w:r>
    </w:p>
    <w:p w14:paraId="61BC5F52" w14:textId="77777777" w:rsidR="00AD51A7" w:rsidRPr="003054A9" w:rsidRDefault="00AD51A7" w:rsidP="00AD51A7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</w:p>
    <w:p w14:paraId="61C3DAA7" w14:textId="0BFFFEB6" w:rsidR="00556074" w:rsidRPr="003054A9" w:rsidRDefault="00AD51A7" w:rsidP="000A4BD1">
      <w:pPr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F063BD">
        <w:rPr>
          <w:rFonts w:ascii="Arial" w:hAnsi="Arial" w:cs="David" w:hint="cs"/>
          <w:sz w:val="24"/>
          <w:szCs w:val="24"/>
          <w:rtl/>
        </w:rPr>
        <w:t>לד</w:t>
      </w:r>
      <w:r w:rsidR="002C11D7" w:rsidRPr="00F063BD">
        <w:rPr>
          <w:rFonts w:ascii="Arial" w:hAnsi="Arial" w:cs="David" w:hint="cs"/>
          <w:sz w:val="24"/>
          <w:szCs w:val="24"/>
          <w:rtl/>
        </w:rPr>
        <w:t xml:space="preserve">ברי רונית שורק, אוצרת התערוכה: "בעבודותיה האחרונות של ריקמן יש בחירה </w:t>
      </w:r>
      <w:r w:rsidR="00556074" w:rsidRPr="00F063BD">
        <w:rPr>
          <w:rFonts w:ascii="Arial" w:eastAsia="Times New Roman" w:hAnsi="Arial" w:cs="David" w:hint="eastAsia"/>
          <w:color w:val="222222"/>
          <w:sz w:val="24"/>
          <w:szCs w:val="24"/>
          <w:rtl/>
        </w:rPr>
        <w:t>נועזת</w:t>
      </w:r>
      <w:r w:rsidR="00556074" w:rsidRPr="00F063BD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בצבע ורוד, </w:t>
      </w:r>
      <w:r w:rsidR="00556074" w:rsidRPr="000A4BD1">
        <w:rPr>
          <w:rFonts w:ascii="Arial" w:eastAsia="Times New Roman" w:hAnsi="Arial" w:cs="David" w:hint="eastAsia"/>
          <w:color w:val="222222"/>
          <w:sz w:val="24"/>
          <w:szCs w:val="24"/>
          <w:rtl/>
        </w:rPr>
        <w:t>על</w:t>
      </w:r>
      <w:r w:rsidR="00556074" w:rsidRPr="000A4BD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556074" w:rsidRPr="000A4BD1">
        <w:rPr>
          <w:rFonts w:ascii="Arial" w:eastAsia="Times New Roman" w:hAnsi="Arial" w:cs="David" w:hint="eastAsia"/>
          <w:color w:val="222222"/>
          <w:sz w:val="24"/>
          <w:szCs w:val="24"/>
          <w:rtl/>
        </w:rPr>
        <w:t>כל</w:t>
      </w:r>
      <w:r w:rsidR="00556074" w:rsidRPr="000A4BD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556074" w:rsidRPr="000A4BD1">
        <w:rPr>
          <w:rFonts w:ascii="Arial" w:eastAsia="Times New Roman" w:hAnsi="Arial" w:cs="David" w:hint="eastAsia"/>
          <w:color w:val="222222"/>
          <w:sz w:val="24"/>
          <w:szCs w:val="24"/>
          <w:rtl/>
        </w:rPr>
        <w:t>המשתמע</w:t>
      </w:r>
      <w:r w:rsidR="00556074" w:rsidRPr="000A4BD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556074" w:rsidRPr="000A4BD1">
        <w:rPr>
          <w:rFonts w:ascii="Arial" w:eastAsia="Times New Roman" w:hAnsi="Arial" w:cs="David" w:hint="eastAsia"/>
          <w:color w:val="222222"/>
          <w:sz w:val="24"/>
          <w:szCs w:val="24"/>
          <w:rtl/>
        </w:rPr>
        <w:t>ממנו</w:t>
      </w:r>
      <w:r w:rsidR="00556074" w:rsidRPr="00F063BD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="002C11D7" w:rsidRPr="00F063BD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="00556074" w:rsidRPr="00F063BD">
        <w:rPr>
          <w:rFonts w:ascii="Arial" w:eastAsia="Times New Roman" w:hAnsi="Arial" w:cs="David" w:hint="cs"/>
          <w:color w:val="222222"/>
          <w:sz w:val="24"/>
          <w:szCs w:val="24"/>
          <w:rtl/>
        </w:rPr>
        <w:t>למרות הבחירה המפתיעה, אין היא מעוניינת בפרובוקציה, במתיקות, או בדיון מגדרי</w:t>
      </w:r>
      <w:r w:rsidR="009C3E44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="00D02118" w:rsidRPr="00F063BD" w:rsidDel="00D02118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="00D02118" w:rsidRPr="00F063BD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="00D02118" w:rsidRPr="00F063BD">
        <w:rPr>
          <w:rFonts w:ascii="Arial" w:hAnsi="Arial" w:cs="David" w:hint="cs"/>
          <w:sz w:val="24"/>
          <w:szCs w:val="24"/>
          <w:rtl/>
        </w:rPr>
        <w:t>היא רושמת מצורך יומיומי ובחופש גדול, החופש שבהפשטה</w:t>
      </w:r>
      <w:r w:rsidR="00D02118" w:rsidRPr="00F063BD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="002C11D7" w:rsidRPr="00F063BD">
        <w:rPr>
          <w:rFonts w:ascii="Arial" w:eastAsia="Times New Roman" w:hAnsi="Arial" w:cs="David" w:hint="cs"/>
          <w:color w:val="222222"/>
          <w:sz w:val="24"/>
          <w:szCs w:val="24"/>
          <w:rtl/>
        </w:rPr>
        <w:t>"</w:t>
      </w:r>
      <w:r w:rsidR="00556074" w:rsidRPr="00F063BD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="000A4BD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</w:p>
    <w:p w14:paraId="31A83294" w14:textId="77777777" w:rsidR="00556074" w:rsidRPr="003054A9" w:rsidRDefault="00556074" w:rsidP="00556074">
      <w:pPr>
        <w:spacing w:after="0" w:line="360" w:lineRule="auto"/>
        <w:rPr>
          <w:rFonts w:ascii="Arial" w:eastAsia="Times New Roman" w:hAnsi="Arial" w:cs="David"/>
          <w:rtl/>
        </w:rPr>
      </w:pPr>
    </w:p>
    <w:p w14:paraId="1CA91F8D" w14:textId="77777777" w:rsidR="00556074" w:rsidRPr="003054A9" w:rsidRDefault="00556074" w:rsidP="00556074">
      <w:pPr>
        <w:spacing w:after="0" w:line="360" w:lineRule="auto"/>
        <w:rPr>
          <w:rFonts w:ascii="Arial" w:eastAsia="Times New Roman" w:hAnsi="Arial" w:cs="David"/>
          <w:rtl/>
        </w:rPr>
      </w:pPr>
    </w:p>
    <w:p w14:paraId="1F2C1826" w14:textId="77777777" w:rsidR="00556074" w:rsidRPr="003054A9" w:rsidRDefault="00556074" w:rsidP="00556074">
      <w:pPr>
        <w:rPr>
          <w:rFonts w:cs="David"/>
        </w:rPr>
      </w:pPr>
    </w:p>
    <w:p w14:paraId="79A73EEC" w14:textId="77777777" w:rsidR="00481A79" w:rsidRPr="003054A9" w:rsidRDefault="00481A79">
      <w:pPr>
        <w:rPr>
          <w:rFonts w:cs="David"/>
        </w:rPr>
      </w:pPr>
    </w:p>
    <w:sectPr w:rsidR="00481A79" w:rsidRPr="003054A9" w:rsidSect="00CD2613">
      <w:headerReference w:type="default" r:id="rId7"/>
      <w:footerReference w:type="default" r:id="rId8"/>
      <w:pgSz w:w="11906" w:h="16838" w:code="9"/>
      <w:pgMar w:top="720" w:right="720" w:bottom="720" w:left="720" w:header="5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6E0BF" w14:textId="77777777" w:rsidR="00976430" w:rsidRDefault="00976430">
      <w:pPr>
        <w:spacing w:after="0" w:line="240" w:lineRule="auto"/>
      </w:pPr>
      <w:r>
        <w:separator/>
      </w:r>
    </w:p>
  </w:endnote>
  <w:endnote w:type="continuationSeparator" w:id="0">
    <w:p w14:paraId="4A8779FF" w14:textId="77777777" w:rsidR="00976430" w:rsidRDefault="0097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8A33B" w14:textId="77777777" w:rsidR="005F08A6" w:rsidRPr="005F08A6" w:rsidRDefault="002C11D7" w:rsidP="00C8440E">
    <w:pPr>
      <w:pStyle w:val="a5"/>
      <w:bidi w:val="0"/>
    </w:pPr>
    <w:r>
      <w:rPr>
        <w:noProof/>
      </w:rPr>
      <w:drawing>
        <wp:inline distT="0" distB="0" distL="0" distR="0" wp14:anchorId="243B5570" wp14:editId="1349725F">
          <wp:extent cx="2162175" cy="762000"/>
          <wp:effectExtent l="0" t="0" r="9525" b="0"/>
          <wp:docPr id="2" name="תמונה 2" descr="cid:image001.jpg@01D4C2AF.AE7D7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C2AF.AE7D75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9F09B" w14:textId="77777777" w:rsidR="00976430" w:rsidRDefault="00976430">
      <w:pPr>
        <w:spacing w:after="0" w:line="240" w:lineRule="auto"/>
      </w:pPr>
      <w:r>
        <w:separator/>
      </w:r>
    </w:p>
  </w:footnote>
  <w:footnote w:type="continuationSeparator" w:id="0">
    <w:p w14:paraId="0388F739" w14:textId="77777777" w:rsidR="00976430" w:rsidRDefault="0097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3AF37" w14:textId="77777777" w:rsidR="00D92574" w:rsidRDefault="00976430" w:rsidP="008E2381">
    <w:pPr>
      <w:pStyle w:val="a3"/>
      <w:bidi w:val="0"/>
    </w:pPr>
  </w:p>
  <w:p w14:paraId="1725B26D" w14:textId="77777777" w:rsidR="009D4B9D" w:rsidRDefault="00976430" w:rsidP="009D4B9D">
    <w:pPr>
      <w:pStyle w:val="a3"/>
      <w:bidi w:val="0"/>
    </w:pPr>
  </w:p>
  <w:p w14:paraId="1C3ACEE0" w14:textId="77777777" w:rsidR="009D4B9D" w:rsidRDefault="002C11D7" w:rsidP="009D4B9D">
    <w:pPr>
      <w:pStyle w:val="a3"/>
      <w:bidi w:val="0"/>
      <w:rPr>
        <w:rtl/>
      </w:rPr>
    </w:pPr>
    <w:r>
      <w:rPr>
        <w:noProof/>
      </w:rPr>
      <w:drawing>
        <wp:inline distT="0" distB="0" distL="0" distR="0" wp14:anchorId="1152A7E3" wp14:editId="2AFF6E68">
          <wp:extent cx="3581400" cy="1057275"/>
          <wp:effectExtent l="0" t="0" r="0" b="9525"/>
          <wp:docPr id="1" name="תמונה 1" descr="cid:image002.jpg@01D4C2AF.AE7D7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4C2AF.AE7D75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1724"/>
    <w:multiLevelType w:val="hybridMultilevel"/>
    <w:tmpl w:val="0D4A1612"/>
    <w:lvl w:ilvl="0" w:tplc="1A3498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50"/>
    <w:rsid w:val="000A4BD1"/>
    <w:rsid w:val="00137FC6"/>
    <w:rsid w:val="002C11D7"/>
    <w:rsid w:val="002C437C"/>
    <w:rsid w:val="003054A9"/>
    <w:rsid w:val="00481A79"/>
    <w:rsid w:val="004837F7"/>
    <w:rsid w:val="00487150"/>
    <w:rsid w:val="004E1499"/>
    <w:rsid w:val="00556074"/>
    <w:rsid w:val="00766781"/>
    <w:rsid w:val="007D216D"/>
    <w:rsid w:val="00976430"/>
    <w:rsid w:val="009C3E44"/>
    <w:rsid w:val="00A7298C"/>
    <w:rsid w:val="00AD51A7"/>
    <w:rsid w:val="00BA6AAB"/>
    <w:rsid w:val="00C93168"/>
    <w:rsid w:val="00CA521A"/>
    <w:rsid w:val="00D02118"/>
    <w:rsid w:val="00D14010"/>
    <w:rsid w:val="00D77A83"/>
    <w:rsid w:val="00F0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C3E8"/>
  <w15:chartTrackingRefBased/>
  <w15:docId w15:val="{2FC90DBA-F16E-4BBA-B132-CAD198F4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15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87150"/>
  </w:style>
  <w:style w:type="paragraph" w:styleId="a5">
    <w:name w:val="footer"/>
    <w:basedOn w:val="a"/>
    <w:link w:val="a6"/>
    <w:uiPriority w:val="99"/>
    <w:unhideWhenUsed/>
    <w:rsid w:val="00487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87150"/>
  </w:style>
  <w:style w:type="paragraph" w:styleId="a7">
    <w:name w:val="List Paragraph"/>
    <w:basedOn w:val="a"/>
    <w:uiPriority w:val="34"/>
    <w:qFormat/>
    <w:rsid w:val="004871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6AA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A6AA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2AF.AE7D757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C2AF.AE7D75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Edelist</dc:creator>
  <cp:keywords/>
  <dc:description/>
  <cp:lastModifiedBy>user</cp:lastModifiedBy>
  <cp:revision>4</cp:revision>
  <dcterms:created xsi:type="dcterms:W3CDTF">2020-11-04T10:41:00Z</dcterms:created>
  <dcterms:modified xsi:type="dcterms:W3CDTF">2020-12-01T21:50:00Z</dcterms:modified>
</cp:coreProperties>
</file>